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E0" w:rsidRDefault="002241E0">
      <w:r>
        <w:t>от 27.08.2021</w:t>
      </w:r>
    </w:p>
    <w:p w:rsidR="002241E0" w:rsidRDefault="002241E0"/>
    <w:p w:rsidR="002241E0" w:rsidRDefault="002241E0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241E0" w:rsidRDefault="002241E0">
      <w:r>
        <w:t>Общество с ограниченной ответственностью «АРХИТЕКТУРНОЕ БЮРО «АЛЕКСАНДРОВ И КОРЮКИН» ИНН 7813639981</w:t>
      </w:r>
    </w:p>
    <w:p w:rsidR="002241E0" w:rsidRDefault="002241E0"/>
    <w:p w:rsidR="002241E0" w:rsidRDefault="002241E0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241E0" w:rsidRDefault="002241E0">
      <w:r>
        <w:t>Общество с ограниченной ответственностью «лан технолоджи» ИНН 7743762107</w:t>
      </w:r>
    </w:p>
    <w:p w:rsidR="002241E0" w:rsidRDefault="002241E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241E0"/>
    <w:rsid w:val="00045D12"/>
    <w:rsid w:val="002241E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